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2"/>
        <w:rPr>
          <w:rFonts w:ascii="仿宋_GB2312" w:hAnsi="宋体" w:eastAsia="仿宋_GB2312" w:cs="宋体"/>
          <w:kern w:val="0"/>
          <w:sz w:val="32"/>
          <w:szCs w:val="32"/>
          <w:lang w:bidi="ar-SA"/>
        </w:rPr>
      </w:pPr>
      <w:r>
        <w:rPr>
          <w:rFonts w:ascii="Times New Roman" w:hAnsi="Times New Roman" w:eastAsia="华文中宋"/>
          <w:b/>
          <w:color w:val="000000"/>
          <w:sz w:val="48"/>
          <w:szCs w:val="48"/>
          <w:lang w:bidi="ar-SA"/>
        </w:rPr>
        <mc:AlternateContent>
          <mc:Choice Requires="wps">
            <w:drawing>
              <wp:anchor distT="0" distB="0" distL="114300" distR="114300" simplePos="0" relativeHeight="251661312" behindDoc="0" locked="0" layoutInCell="1" allowOverlap="1">
                <wp:simplePos x="0" y="0"/>
                <wp:positionH relativeFrom="column">
                  <wp:posOffset>94615</wp:posOffset>
                </wp:positionH>
                <wp:positionV relativeFrom="paragraph">
                  <wp:posOffset>-22225</wp:posOffset>
                </wp:positionV>
                <wp:extent cx="772160" cy="471805"/>
                <wp:effectExtent l="4445" t="4445" r="23495" b="19050"/>
                <wp:wrapNone/>
                <wp:docPr id="1" name="文本框 3"/>
                <wp:cNvGraphicFramePr/>
                <a:graphic xmlns:a="http://schemas.openxmlformats.org/drawingml/2006/main">
                  <a:graphicData uri="http://schemas.microsoft.com/office/word/2010/wordprocessingShape">
                    <wps:wsp>
                      <wps:cNvSpPr txBox="1"/>
                      <wps:spPr>
                        <a:xfrm>
                          <a:off x="0" y="0"/>
                          <a:ext cx="772160" cy="4718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hAnsi="黑体" w:eastAsia="黑体"/>
                                <w:bCs/>
                                <w:sz w:val="28"/>
                              </w:rPr>
                            </w:pPr>
                            <w:r>
                              <w:rPr>
                                <w:rFonts w:hint="eastAsia" w:ascii="黑体" w:hAnsi="黑体" w:eastAsia="黑体"/>
                                <w:bCs/>
                                <w:sz w:val="28"/>
                              </w:rPr>
                              <w:t>附件1</w:t>
                            </w:r>
                          </w:p>
                          <w:p/>
                        </w:txbxContent>
                      </wps:txbx>
                      <wps:bodyPr upright="1"/>
                    </wps:wsp>
                  </a:graphicData>
                </a:graphic>
              </wp:anchor>
            </w:drawing>
          </mc:Choice>
          <mc:Fallback>
            <w:pict>
              <v:shape id="文本框 3" o:spid="_x0000_s1026" o:spt="202" type="#_x0000_t202" style="position:absolute;left:0pt;margin-left:7.45pt;margin-top:-1.75pt;height:37.15pt;width:60.8pt;z-index:251661312;mso-width-relative:page;mso-height-relative:page;" fillcolor="#FFFFFF" filled="t" stroked="t" coordsize="21600,21600" o:gfxdata="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5&#10;B+rXAAAACAEAAA8AAAAAAAAAAQAgAAAAIgAAAGRycy9kb3ducmV2LnhtbFBLAQIUABQAAAAIAIdO&#10;4kBl30TV6wEAAOcDAAAOAAAAAAAAAAEAIAAAACYBAABkcnMvZTJvRG9jLnhtbFBLBQYAAAAABgAG&#10;AFkBAACDBQAAAAA=&#10;">
                <v:fill on="t" focussize="0,0"/>
                <v:stroke color="#FFFFFF" joinstyle="miter"/>
                <v:imagedata o:title=""/>
                <o:lock v:ext="edit" aspectratio="f"/>
                <v:textbox>
                  <w:txbxContent>
                    <w:p>
                      <w:pPr>
                        <w:rPr>
                          <w:rFonts w:ascii="黑体" w:hAnsi="黑体" w:eastAsia="黑体"/>
                          <w:bCs/>
                          <w:sz w:val="28"/>
                        </w:rPr>
                      </w:pPr>
                      <w:r>
                        <w:rPr>
                          <w:rFonts w:hint="eastAsia" w:ascii="黑体" w:hAnsi="黑体" w:eastAsia="黑体"/>
                          <w:bCs/>
                          <w:sz w:val="28"/>
                        </w:rPr>
                        <w:t>附件1</w:t>
                      </w:r>
                    </w:p>
                    <w:p/>
                  </w:txbxContent>
                </v:textbox>
              </v:shape>
            </w:pict>
          </mc:Fallback>
        </mc:AlternateContent>
      </w:r>
    </w:p>
    <w:p>
      <w:pPr>
        <w:spacing w:line="600" w:lineRule="exact"/>
        <w:jc w:val="center"/>
        <w:rPr>
          <w:rFonts w:hint="eastAsia" w:ascii="方正小标宋简体" w:hAnsi="Times New Roman" w:eastAsia="方正小标宋简体"/>
          <w:b/>
          <w:color w:val="000000"/>
          <w:sz w:val="36"/>
          <w:szCs w:val="36"/>
        </w:rPr>
      </w:pPr>
    </w:p>
    <w:p>
      <w:pPr>
        <w:spacing w:line="600" w:lineRule="exact"/>
        <w:jc w:val="center"/>
        <w:rPr>
          <w:rFonts w:ascii="方正小标宋简体" w:hAnsi="Times New Roman" w:eastAsia="方正小标宋简体"/>
          <w:b/>
          <w:color w:val="000000"/>
          <w:sz w:val="36"/>
          <w:szCs w:val="36"/>
        </w:rPr>
      </w:pPr>
      <w:r>
        <w:rPr>
          <w:rFonts w:hint="eastAsia" w:ascii="方正小标宋简体" w:hAnsi="Times New Roman" w:eastAsia="方正小标宋简体"/>
          <w:b/>
          <w:color w:val="000000"/>
          <w:sz w:val="36"/>
          <w:szCs w:val="36"/>
        </w:rPr>
        <w:t>内蒙古察哈尔文化研究会科研项目</w:t>
      </w:r>
    </w:p>
    <w:p>
      <w:pPr>
        <w:spacing w:line="600" w:lineRule="exact"/>
        <w:jc w:val="center"/>
        <w:rPr>
          <w:rFonts w:ascii="方正小标宋简体" w:hAnsi="Times New Roman" w:eastAsia="方正小标宋简体"/>
          <w:b/>
          <w:color w:val="000000"/>
          <w:sz w:val="36"/>
          <w:szCs w:val="36"/>
        </w:rPr>
      </w:pPr>
      <w:r>
        <w:rPr>
          <w:rFonts w:hint="eastAsia" w:ascii="方正小标宋简体" w:hAnsi="Times New Roman" w:eastAsia="方正小标宋简体"/>
          <w:b/>
          <w:color w:val="000000"/>
          <w:sz w:val="36"/>
          <w:szCs w:val="36"/>
        </w:rPr>
        <w:t>2019年度课题申报指南和课题目录</w:t>
      </w:r>
    </w:p>
    <w:p>
      <w:pPr>
        <w:spacing w:line="660" w:lineRule="exact"/>
        <w:ind w:firstLine="602" w:firstLineChars="200"/>
        <w:rPr>
          <w:rFonts w:ascii="Times New Roman" w:hAnsi="Times New Roman" w:eastAsia="黑体"/>
          <w:b/>
          <w:color w:val="000000"/>
          <w:sz w:val="30"/>
          <w:szCs w:val="30"/>
        </w:rPr>
      </w:pPr>
    </w:p>
    <w:p>
      <w:pPr>
        <w:spacing w:line="560" w:lineRule="exact"/>
        <w:ind w:firstLine="640" w:firstLineChars="200"/>
        <w:rPr>
          <w:rFonts w:ascii="黑体" w:hAnsi="黑体" w:eastAsia="黑体"/>
          <w:color w:val="000000"/>
          <w:sz w:val="32"/>
          <w:szCs w:val="36"/>
        </w:rPr>
      </w:pPr>
      <w:r>
        <w:rPr>
          <w:rFonts w:ascii="黑体" w:hAnsi="黑体" w:eastAsia="黑体"/>
          <w:color w:val="000000"/>
          <w:sz w:val="32"/>
          <w:szCs w:val="36"/>
        </w:rPr>
        <w:t>一、课题申报指南</w:t>
      </w:r>
    </w:p>
    <w:p>
      <w:pPr>
        <w:spacing w:line="560" w:lineRule="exact"/>
        <w:ind w:firstLine="602" w:firstLineChars="200"/>
        <w:rPr>
          <w:rFonts w:ascii="Times New Roman" w:hAnsi="Times New Roman" w:eastAsia="楷体_GB2312"/>
          <w:b/>
          <w:color w:val="000000"/>
          <w:sz w:val="30"/>
          <w:szCs w:val="30"/>
        </w:rPr>
      </w:pPr>
      <w:r>
        <w:rPr>
          <w:rFonts w:ascii="Times New Roman" w:hAnsi="Times New Roman" w:eastAsia="楷体_GB2312"/>
          <w:b/>
          <w:color w:val="000000"/>
          <w:sz w:val="30"/>
          <w:szCs w:val="30"/>
        </w:rPr>
        <w:t>（一）指导思想</w:t>
      </w:r>
    </w:p>
    <w:p>
      <w:pPr>
        <w:spacing w:line="560" w:lineRule="exact"/>
        <w:ind w:firstLine="600" w:firstLineChars="200"/>
        <w:rPr>
          <w:rFonts w:ascii="宋体" w:hAnsi="宋体" w:cs="Arial"/>
          <w:kern w:val="0"/>
          <w:sz w:val="30"/>
          <w:szCs w:val="30"/>
        </w:rPr>
      </w:pPr>
      <w:r>
        <w:rPr>
          <w:rFonts w:hint="eastAsia" w:ascii="仿宋_GB2312" w:hAnsi="Times New Roman" w:eastAsia="仿宋_GB2312"/>
          <w:color w:val="000000"/>
          <w:sz w:val="30"/>
          <w:szCs w:val="30"/>
        </w:rPr>
        <w:t>高举中国特色社会主义伟大旗帜，认真贯彻习近平新时代中国特色社会主义思想，发挥察哈尔文化研究会服务地方经济文化建设的作用，</w:t>
      </w:r>
      <w:r>
        <w:rPr>
          <w:rFonts w:hint="eastAsia" w:ascii="仿宋_GB2312" w:hAnsi="Times New Roman" w:eastAsia="仿宋_GB2312"/>
          <w:bCs/>
          <w:color w:val="000000"/>
          <w:sz w:val="30"/>
          <w:szCs w:val="30"/>
        </w:rPr>
        <w:t>坚持“立足学术、服务社会、创新机制、繁荣文化”的宗旨，秉承“挖掘研究、抢救保护、传承弘扬、创新发展”的思路，</w:t>
      </w:r>
      <w:r>
        <w:rPr>
          <w:rFonts w:hint="eastAsia" w:ascii="仿宋_GB2312" w:hAnsi="Times New Roman" w:eastAsia="仿宋_GB2312"/>
          <w:color w:val="000000"/>
          <w:sz w:val="30"/>
          <w:szCs w:val="30"/>
        </w:rPr>
        <w:t>弘扬民族优秀传统文化，传递实现中国梦正能量，开展前瞻性、</w:t>
      </w:r>
      <w:r>
        <w:rPr>
          <w:rFonts w:hint="eastAsia" w:ascii="仿宋_GB2312" w:hAnsi="宋体" w:eastAsia="仿宋_GB2312" w:cs="Arial"/>
          <w:kern w:val="0"/>
          <w:sz w:val="30"/>
          <w:szCs w:val="30"/>
        </w:rPr>
        <w:t>创新性</w:t>
      </w:r>
      <w:r>
        <w:rPr>
          <w:rFonts w:hint="eastAsia" w:ascii="仿宋_GB2312" w:hAnsi="Times New Roman" w:eastAsia="仿宋_GB2312"/>
          <w:color w:val="000000"/>
          <w:sz w:val="30"/>
          <w:szCs w:val="30"/>
        </w:rPr>
        <w:t>、针对性、</w:t>
      </w:r>
      <w:r>
        <w:rPr>
          <w:rFonts w:hint="eastAsia" w:ascii="仿宋_GB2312" w:hAnsi="宋体" w:eastAsia="仿宋_GB2312" w:cs="Arial"/>
          <w:kern w:val="0"/>
          <w:sz w:val="30"/>
          <w:szCs w:val="30"/>
        </w:rPr>
        <w:t>实践性、有效性</w:t>
      </w:r>
      <w:r>
        <w:rPr>
          <w:rFonts w:hint="eastAsia" w:ascii="仿宋_GB2312" w:hAnsi="Times New Roman" w:eastAsia="仿宋_GB2312"/>
          <w:color w:val="000000"/>
          <w:sz w:val="30"/>
          <w:szCs w:val="30"/>
        </w:rPr>
        <w:t>的基础理论研究和应用对策研究，产出一批较高质量的研究成果，形成具有特色的察哈尔文化品牌，为</w:t>
      </w:r>
      <w:r>
        <w:rPr>
          <w:rFonts w:hint="eastAsia" w:ascii="仿宋_GB2312" w:hAnsi="宋体" w:eastAsia="仿宋_GB2312" w:cs="Arial"/>
          <w:sz w:val="30"/>
          <w:szCs w:val="30"/>
        </w:rPr>
        <w:t>自治区民族文化强区建设服务。</w:t>
      </w:r>
    </w:p>
    <w:p>
      <w:pPr>
        <w:spacing w:line="56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（二）项目类别</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内蒙古察哈尔文化研究会科研</w:t>
      </w:r>
      <w:r>
        <w:rPr>
          <w:rFonts w:ascii="Times New Roman" w:hAnsi="Times New Roman" w:eastAsia="仿宋_GB2312"/>
          <w:color w:val="000000"/>
          <w:sz w:val="32"/>
          <w:szCs w:val="32"/>
        </w:rPr>
        <w:t>项目设有招标项目、资助项目、委托项目等类别。为提高研究</w:t>
      </w:r>
      <w:r>
        <w:rPr>
          <w:rFonts w:ascii="仿宋_GB2312" w:hAnsi="Times New Roman" w:eastAsia="仿宋_GB2312"/>
          <w:bCs/>
          <w:color w:val="000000"/>
          <w:sz w:val="30"/>
          <w:szCs w:val="30"/>
        </w:rPr>
        <w:t>质量，2019年度</w:t>
      </w:r>
      <w:r>
        <w:rPr>
          <w:rFonts w:hint="eastAsia" w:ascii="仿宋_GB2312" w:hAnsi="Times New Roman" w:eastAsia="仿宋_GB2312"/>
          <w:bCs/>
          <w:color w:val="000000"/>
          <w:sz w:val="30"/>
          <w:szCs w:val="30"/>
        </w:rPr>
        <w:t>科研项</w:t>
      </w:r>
      <w:r>
        <w:rPr>
          <w:rFonts w:hint="eastAsia" w:ascii="Times New Roman" w:hAnsi="Times New Roman" w:eastAsia="仿宋_GB2312"/>
          <w:color w:val="000000"/>
          <w:sz w:val="32"/>
          <w:szCs w:val="32"/>
        </w:rPr>
        <w:t>目</w:t>
      </w:r>
      <w:r>
        <w:rPr>
          <w:rFonts w:ascii="Times New Roman" w:hAnsi="Times New Roman" w:eastAsia="仿宋_GB2312"/>
          <w:color w:val="000000"/>
          <w:sz w:val="32"/>
          <w:szCs w:val="32"/>
        </w:rPr>
        <w:t>将进一步强化研究过程</w:t>
      </w:r>
      <w:r>
        <w:rPr>
          <w:rFonts w:hint="eastAsia" w:ascii="Times New Roman" w:hAnsi="Times New Roman" w:eastAsia="仿宋_GB2312"/>
          <w:color w:val="000000"/>
          <w:sz w:val="32"/>
          <w:szCs w:val="32"/>
        </w:rPr>
        <w:t>监督</w:t>
      </w:r>
      <w:r>
        <w:rPr>
          <w:rFonts w:ascii="Times New Roman" w:hAnsi="Times New Roman" w:eastAsia="仿宋_GB2312"/>
          <w:color w:val="000000"/>
          <w:sz w:val="32"/>
          <w:szCs w:val="32"/>
        </w:rPr>
        <w:t>和成果意识。</w:t>
      </w:r>
    </w:p>
    <w:p>
      <w:pPr>
        <w:spacing w:line="56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（三）申报要求</w:t>
      </w:r>
    </w:p>
    <w:p>
      <w:pPr>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1.课题申报指南公布的内蒙古察哈尔文化研究会科研项目名称仅具参考作用（委托项目除外），申报者可自主设计具体题目。</w:t>
      </w:r>
    </w:p>
    <w:p>
      <w:pPr>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2.内蒙古察哈尔文化研究会科研项目坚持全面开放原则，注重申报者的品德和能力，对申报者所在地区、职称职务、学历学位不作要求。</w:t>
      </w:r>
    </w:p>
    <w:p>
      <w:pPr>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3.各专业委员会要遴选推荐、严格把关本次申报的科研课题的质量。 </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olor w:val="000000"/>
          <w:sz w:val="32"/>
          <w:szCs w:val="32"/>
        </w:rPr>
        <w:t>4.</w:t>
      </w:r>
      <w:r>
        <w:rPr>
          <w:rFonts w:hint="eastAsia" w:ascii="Times New Roman" w:hAnsi="Times New Roman" w:eastAsia="仿宋_GB2312"/>
          <w:sz w:val="32"/>
          <w:szCs w:val="32"/>
        </w:rPr>
        <w:t>课题</w:t>
      </w:r>
      <w:r>
        <w:rPr>
          <w:rFonts w:ascii="Times New Roman" w:hAnsi="Times New Roman" w:eastAsia="仿宋_GB2312"/>
          <w:sz w:val="32"/>
          <w:szCs w:val="32"/>
        </w:rPr>
        <w:t>申请人应按照《</w:t>
      </w:r>
      <w:r>
        <w:rPr>
          <w:rFonts w:hint="eastAsia" w:ascii="Times New Roman" w:hAnsi="Times New Roman" w:eastAsia="仿宋_GB2312"/>
          <w:sz w:val="32"/>
          <w:szCs w:val="32"/>
        </w:rPr>
        <w:t>内蒙古察哈尔文化研究会</w:t>
      </w:r>
      <w:r>
        <w:rPr>
          <w:rFonts w:ascii="Times New Roman" w:hAnsi="Times New Roman" w:eastAsia="仿宋_GB2312"/>
          <w:sz w:val="32"/>
          <w:szCs w:val="32"/>
        </w:rPr>
        <w:t>科研项目管理办法》</w:t>
      </w:r>
      <w:r>
        <w:rPr>
          <w:rFonts w:hint="eastAsia" w:ascii="Times New Roman" w:hAnsi="Times New Roman" w:eastAsia="仿宋_GB2312"/>
          <w:sz w:val="32"/>
          <w:szCs w:val="32"/>
        </w:rPr>
        <w:t>申报科研课题，认真填写《内蒙古察哈尔文化研究会科研项目申请表》。</w:t>
      </w:r>
    </w:p>
    <w:p>
      <w:pPr>
        <w:widowControl/>
        <w:spacing w:line="600" w:lineRule="exact"/>
        <w:ind w:firstLine="482"/>
        <w:jc w:val="left"/>
        <w:rPr>
          <w:rFonts w:hint="eastAsia" w:ascii="Times New Roman" w:hAnsi="Times New Roman" w:eastAsia="仿宋_GB2312"/>
          <w:sz w:val="32"/>
          <w:szCs w:val="32"/>
        </w:rPr>
      </w:pPr>
      <w:r>
        <w:rPr>
          <w:rFonts w:hint="eastAsia" w:ascii="仿宋_GB2312" w:hAnsi="Times New Roman" w:eastAsia="仿宋_GB2312"/>
          <w:color w:val="000000"/>
          <w:sz w:val="32"/>
          <w:szCs w:val="32"/>
        </w:rPr>
        <w:t xml:space="preserve"> 5.</w:t>
      </w:r>
      <w:r>
        <w:rPr>
          <w:rFonts w:hint="eastAsia" w:ascii="Times New Roman" w:hAnsi="Times New Roman" w:eastAsia="仿宋_GB2312"/>
          <w:sz w:val="32"/>
          <w:szCs w:val="32"/>
        </w:rPr>
        <w:t>申请人将《申请表》纸质件1份（A4纸打印，左侧装订）及《内蒙古察哈尔文化研究会科研项目申请表》（电子版）报送内蒙古察哈尔文化研究会科研管理部, 逾期不予受理。</w:t>
      </w:r>
    </w:p>
    <w:p>
      <w:pPr>
        <w:spacing w:line="560" w:lineRule="exact"/>
        <w:ind w:firstLine="600"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二、察哈尔文化研究课题目录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（一）察哈尔文化理论研究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1.察哈尔文化的理论体系构建</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2.察哈尔传统文化与社会主义核心价值观内在关系研究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3.察哈尔文化在“内蒙古学”中的地位与作用</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4.察哈尔学与蒙古学的关系研究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5.察哈尔文化核心理念及其历史形态研究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6.察哈尔历史文化的哲学思想</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7.蒙古族古典哲学对察哈尔文化的影响</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8.蒙古金字《甘珠尔》经研究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9.察哈尔文化研究的任务与方法论</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10.察哈尔文化与蒙古族草原文化的关系研究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11.构建“无锡张+”察哈尔文化圈研究</w:t>
      </w:r>
    </w:p>
    <w:p>
      <w:pPr>
        <w:spacing w:line="560" w:lineRule="exact"/>
        <w:ind w:firstLine="640" w:firstLineChars="200"/>
        <w:rPr>
          <w:rFonts w:hint="eastAsia" w:ascii="黑体" w:hAnsi="黑体" w:eastAsia="黑体" w:cs="宋体"/>
          <w:sz w:val="32"/>
          <w:szCs w:val="32"/>
        </w:rPr>
      </w:pP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w:t>
      </w:r>
      <w:r>
        <w:rPr>
          <w:rFonts w:ascii="黑体" w:hAnsi="黑体" w:eastAsia="黑体" w:cs="宋体"/>
          <w:sz w:val="32"/>
          <w:szCs w:val="32"/>
        </w:rPr>
        <w:t>察哈尔</w:t>
      </w:r>
      <w:r>
        <w:rPr>
          <w:rFonts w:hint="eastAsia" w:ascii="黑体" w:hAnsi="黑体" w:eastAsia="黑体" w:cs="宋体"/>
          <w:sz w:val="32"/>
          <w:szCs w:val="32"/>
        </w:rPr>
        <w:t>蒙古族</w:t>
      </w:r>
      <w:r>
        <w:rPr>
          <w:rFonts w:ascii="黑体" w:hAnsi="黑体" w:eastAsia="黑体" w:cs="宋体"/>
          <w:sz w:val="32"/>
          <w:szCs w:val="32"/>
        </w:rPr>
        <w:t>对中国的历史贡献研究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12. 察哈尔蒙古族爱国主义传统研究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13. 察哈尔（万户）与明朝的联盟关系研究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 xml:space="preserve">14. 察哈尔蒙古族在不同历史时期对于民族团结所做出的贡献研究  </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15.察哈尔蒙古族在中国反侵略战争中的历史贡献研究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（1）镇江之役</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（2）大沽口之战</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（3）八里桥之战</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（4）中日甲午战争之锦州战役</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（5）抗日战争</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16.察哈尔蒙古族对保卫国家北疆安全的历史贡献研究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17.察哈尔文化在建构中华民族共同体意识中的作用研究</w:t>
      </w:r>
    </w:p>
    <w:p>
      <w:pPr>
        <w:spacing w:line="560" w:lineRule="exact"/>
        <w:ind w:firstLine="640" w:firstLineChars="200"/>
        <w:rPr>
          <w:rFonts w:ascii="黑体" w:hAnsi="黑体" w:eastAsia="黑体" w:cs="宋体"/>
          <w:b/>
          <w:bCs/>
          <w:color w:val="FF0000"/>
          <w:sz w:val="32"/>
          <w:szCs w:val="32"/>
        </w:rPr>
      </w:pPr>
      <w:r>
        <w:rPr>
          <w:rFonts w:hint="eastAsia" w:ascii="黑体" w:hAnsi="黑体" w:eastAsia="黑体"/>
          <w:sz w:val="32"/>
          <w:szCs w:val="32"/>
        </w:rPr>
        <w:t>（三）体制与</w:t>
      </w:r>
      <w:r>
        <w:rPr>
          <w:rFonts w:ascii="黑体" w:hAnsi="黑体" w:eastAsia="黑体"/>
          <w:sz w:val="32"/>
          <w:szCs w:val="32"/>
        </w:rPr>
        <w:t>制度研究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18.察哈尔万户的体制与职官设置研究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19.察哈尔八鄂托克的形成与演变</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20.林丹汗时期万户制的演变与发展研究</w:t>
      </w:r>
    </w:p>
    <w:p>
      <w:pPr>
        <w:spacing w:line="560" w:lineRule="exact"/>
        <w:ind w:firstLine="640" w:firstLineChars="200"/>
        <w:rPr>
          <w:rFonts w:ascii="仿宋_GB2312" w:hAnsi="仿宋" w:eastAsia="仿宋_GB2312" w:cs="宋体"/>
          <w:color w:val="FF0000"/>
          <w:sz w:val="32"/>
          <w:szCs w:val="32"/>
        </w:rPr>
      </w:pPr>
      <w:r>
        <w:rPr>
          <w:rFonts w:hint="eastAsia" w:ascii="仿宋_GB2312" w:hAnsi="仿宋" w:eastAsia="仿宋_GB2312" w:cs="宋体"/>
          <w:sz w:val="32"/>
          <w:szCs w:val="32"/>
        </w:rPr>
        <w:t>21.察哈尔旗群建置考证</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22.清至民国时期察哈尔游牧地及其文化变迁研究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23.清代察哈尔旗群卫拉特苏木研究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24.清至民国时期察哈尔地区官私牧厂（牧场）研究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25.清至民国时期察哈尔地区的垦殖与设治</w:t>
      </w:r>
    </w:p>
    <w:p>
      <w:pPr>
        <w:spacing w:line="560" w:lineRule="exact"/>
        <w:ind w:firstLine="640" w:firstLineChars="200"/>
        <w:rPr>
          <w:rFonts w:ascii="仿宋_GB2312" w:hAnsi="仿宋" w:eastAsia="仿宋_GB2312" w:cs="宋体"/>
          <w:sz w:val="32"/>
          <w:szCs w:val="32"/>
        </w:rPr>
      </w:pPr>
      <w:r>
        <w:rPr>
          <w:rFonts w:hint="eastAsia" w:ascii="Times New Roman" w:hAnsi="Times New Roman" w:eastAsia="仿宋_GB2312"/>
          <w:color w:val="000000"/>
          <w:sz w:val="32"/>
          <w:szCs w:val="32"/>
        </w:rPr>
        <w:t>26.</w:t>
      </w:r>
      <w:r>
        <w:rPr>
          <w:rFonts w:hint="eastAsia" w:ascii="仿宋_GB2312" w:hAnsi="仿宋" w:eastAsia="仿宋_GB2312" w:cs="宋体"/>
          <w:sz w:val="32"/>
          <w:szCs w:val="32"/>
        </w:rPr>
        <w:t>清至民国时期察哈尔地区土地租佃关系</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27.察绥两省与察哈尔八旗四牧群</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28.蒙古国境内察哈尔蒙古族研究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29.察哈尔口述史研究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经济社会发展研究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30.清代察哈尔八旗经济研究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31.民国时期察哈尔十二旗群经济研究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32.伪蒙疆时期察哈尔地区经济研究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33.清至民国时期察哈尔地区交通运输研究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34.察哈尔地区经济与内蒙古经济发展关系研究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（五）察哈尔民俗文化研究</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宗教信仰与仪式礼仪</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35.北元时期蒙古族民间萨满教信仰研究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36.察哈尔蒙古族祭天仪式的传承与演变</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37.察哈尔蒙古族祭火仪式的传承与演变</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38.察哈尔蒙古族敖包祭祀的传承与演变</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39.察哈尔蒙古族树木崇拜研究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40.明清以来察哈尔地区寺庙与僧侣阶层研究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41.清至民国时期察哈尔地区基督教研究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42.藏传佛教在察哈尔的传播与发展</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43.察哈尔蒙古族宗教信仰史研究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44.察哈尔蒙古族祭祀苏力德（白、黑、花）习俗研究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45.蒙古族“珠日海学”在察哈尔地区传承的研究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46.察哈尔蒙古族敬重礼仪中的价值观研究</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察哈尔服饰文化研究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47.察哈尔元素与蒙古族传统服饰的关系研究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48.察哈尔服饰与蒙古族其他部落服装的比较研究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 xml:space="preserve">49.察哈尔蒙古袍的延伸发展与旗袍的关系研究 </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50.察哈尔服饰与传说</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51.近代察哈尔服饰基本特点的形成和发展研究</w:t>
      </w:r>
    </w:p>
    <w:p>
      <w:pPr>
        <w:spacing w:line="56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sz w:val="32"/>
          <w:szCs w:val="32"/>
        </w:rPr>
        <w:t>52.察哈尔服饰的</w:t>
      </w:r>
      <w:r>
        <w:rPr>
          <w:rFonts w:hint="eastAsia" w:ascii="仿宋_GB2312" w:hAnsi="仿宋" w:eastAsia="仿宋_GB2312" w:cs="宋体"/>
          <w:color w:val="000000"/>
          <w:sz w:val="32"/>
          <w:szCs w:val="32"/>
        </w:rPr>
        <w:t>传承方式</w:t>
      </w:r>
      <w:r>
        <w:rPr>
          <w:rFonts w:hint="eastAsia" w:ascii="仿宋_GB2312" w:hAnsi="仿宋" w:eastAsia="仿宋_GB2312" w:cs="宋体"/>
          <w:sz w:val="32"/>
          <w:szCs w:val="32"/>
        </w:rPr>
        <w:t>与创新发展趋势研究</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察哈尔饮食文化研究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53.北元时期察哈尔蒙古族饮食文化研究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54.察哈尔奶食制作工艺传承与产业化研究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55.察哈尔蒙古族饮食结构变化研究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56.蒙古族餐饮的理论与实践研究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57.内蒙古蒙古族餐饮在文化产业化中的地位和作用研究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58.蒙古族餐饮与汉族餐饮的交融发展研究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59.内蒙古蒙古族餐饮的发展历史与现状研究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60.蒙餐的标准化研究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61.《饮膳正要》对现代蒙餐发展的启示研究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62.蒙餐理论研究与厨师队伍建设</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63.蒙古族餐饮发展趋势研究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64.世界蒙古族餐饮的地域性差别研究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65.蒙古族饮食文化的发展与演变研究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66.蒙餐菜系化发展趋势研究</w:t>
      </w:r>
    </w:p>
    <w:p>
      <w:pPr>
        <w:spacing w:line="560" w:lineRule="exact"/>
        <w:ind w:firstLine="640" w:firstLineChars="200"/>
        <w:rPr>
          <w:rFonts w:ascii="仿宋_GB2312" w:hAnsi="仿宋" w:eastAsia="仿宋_GB2312" w:cs="宋体"/>
          <w:color w:val="FF0000"/>
          <w:sz w:val="32"/>
          <w:szCs w:val="32"/>
        </w:rPr>
      </w:pPr>
      <w:r>
        <w:rPr>
          <w:rFonts w:hint="eastAsia" w:ascii="仿宋_GB2312" w:hAnsi="仿宋" w:eastAsia="仿宋_GB2312" w:cs="宋体"/>
          <w:sz w:val="32"/>
          <w:szCs w:val="32"/>
        </w:rPr>
        <w:t>67.蒙古族餐饮的保健与治疗功能研究</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察哈尔蒙古族居住文化研究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68.察哈尔地区历史遗迹的探究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69.察哈尔蒙古族居住文化的特点及变迁研究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70.蒙古族建筑艺术在察哈尔地区传承与发展研究</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（五）察哈尔蒙古族传统工艺研究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71.察哈尔毛植工艺技术研究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72.察哈尔传统皮画艺术研究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73.察哈尔传统烫画艺术研究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74.察哈尔传统毡艺研究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（六）察哈尔传统音乐、舞蹈与曲艺艺术研究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75.察哈尔蒙古族宫廷音乐理论研究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76.蒙古族宫廷音乐阿斯尔在察哈尔地区传承研究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77.萨吾尔登舞在察哈尔地区的形成和发展研究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78.察哈尔说唱艺术研究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79.察哈尔特色乐器研究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80.察哈尔民歌的传承与流变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（七）察哈尔蒙古族教育研究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81.清代八旗察哈尔蒙古族教育研究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82.清代察哈尔八旗四牧群教育状况研究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83.民国时期察哈尔十二旗群的教育状况研究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84.蒙疆时期察哈尔八旗的教育状况研究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85.察哈尔地区现代教育发展研究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86.察哈尔地区“马背教师”的口述史研究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87.察哈尔家庭教育变迁研究</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（八）察哈尔蒙古族语言文学研究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88. 察哈尔谚语及其哲学思想的研究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89. 察哈尔蒙古族历代文化名人研究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90. 察哈尔蒙古族民间文学研究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91. 察哈尔方言与蒙古语标准音关系研究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92. 察哈尔蒙古族方言研究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93. 察哈尔部历代语言学著作整理研究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94.新疆察哈尔蒙古族语言文学的变迁与发展研究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（九）察哈尔部史志、档案资料搜集与整理</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95.蒙古族察哈尔部形成史研究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96.古代察哈尔部史料研究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97.蒙古族察哈尔部形成与发展史研究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98.察哈尔部与后金（或爱新国）关系史料校注</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99.近现代察哈尔史资料索引</w:t>
      </w:r>
    </w:p>
    <w:p>
      <w:pPr>
        <w:spacing w:line="560" w:lineRule="exact"/>
        <w:ind w:right="-197" w:rightChars="-94" w:firstLine="640" w:firstLineChars="200"/>
        <w:rPr>
          <w:rFonts w:ascii="仿宋_GB2312" w:hAnsi="仿宋" w:eastAsia="仿宋_GB2312" w:cs="宋体"/>
          <w:sz w:val="32"/>
          <w:szCs w:val="32"/>
        </w:rPr>
      </w:pPr>
      <w:r>
        <w:rPr>
          <w:rFonts w:hint="eastAsia" w:ascii="仿宋_GB2312" w:hAnsi="仿宋" w:eastAsia="仿宋_GB2312" w:cs="宋体"/>
          <w:sz w:val="32"/>
          <w:szCs w:val="32"/>
        </w:rPr>
        <w:t>100.清朝前期察哈尔八旗出兵西南、西北的史料研究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101.民国时期察哈尔八旗档案资料研究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 xml:space="preserve">102.伪蒙疆时期察哈尔八旗档案资料研究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（十）察哈尔人物研究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103.察哈尔蒙古族历史人物</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104.旅居海外的察哈尔知名人物</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 xml:space="preserve">105.察哈尔八旗都统及十二旗群总管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（十一）察哈尔地区传统游牧与生态文明</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106.察哈尔文化理念与环保意识</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107.察哈尔地区生态环境与传统游牧经济变迁研究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108.察哈尔地区游牧社会形态变迁研究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109.察哈尔地区传统游牧文化的生态智慧研究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（十二）现状研究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 xml:space="preserve">110.察哈尔右翼三旗蒙古族现状调查与研究 </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111.察哈尔地区村落史研究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112.察哈尔蒙汉杂居区社会调查与研究</w:t>
      </w:r>
      <w:bookmarkStart w:id="0" w:name="_GoBack"/>
      <w:bookmarkEnd w:id="0"/>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（十三）新时代察哈尔文化的创新发展研究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113.察哈尔文化当代产业化发展研究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114.</w:t>
      </w:r>
      <w:r>
        <w:rPr>
          <w:rFonts w:ascii="仿宋_GB2312" w:hAnsi="仿宋" w:eastAsia="仿宋_GB2312" w:cs="宋体"/>
          <w:sz w:val="32"/>
          <w:szCs w:val="32"/>
        </w:rPr>
        <w:t>察哈尔文化产业与旅游产业融合研究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115.“一带一路”背景下察哈尔文化与中蒙俄跨境旅游融合发展研究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116.察哈尔文化品牌与地区经济发展研究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117.“一带一路”建设与察哈尔文化</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118.“三乌经济文化走廊”建设与察哈尔文化</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119.察哈尔地区的草原丝绸之路研究</w:t>
      </w:r>
    </w:p>
    <w:p>
      <w:pPr>
        <w:widowControl/>
        <w:spacing w:line="560" w:lineRule="exact"/>
        <w:ind w:firstLine="482"/>
        <w:jc w:val="left"/>
        <w:rPr>
          <w:rFonts w:ascii="仿宋_GB2312" w:hAnsi="宋体" w:eastAsia="仿宋_GB2312" w:cs="宋体"/>
          <w:kern w:val="0"/>
          <w:sz w:val="32"/>
          <w:szCs w:val="32"/>
          <w:lang w:bidi="ar-SA"/>
        </w:rPr>
      </w:pPr>
    </w:p>
    <w:p>
      <w:pPr>
        <w:widowControl/>
        <w:spacing w:line="560" w:lineRule="exact"/>
        <w:ind w:firstLine="482"/>
        <w:jc w:val="left"/>
        <w:rPr>
          <w:rFonts w:ascii="仿宋_GB2312" w:hAnsi="宋体" w:eastAsia="仿宋_GB2312" w:cs="宋体"/>
          <w:kern w:val="0"/>
          <w:sz w:val="32"/>
          <w:szCs w:val="32"/>
          <w:lang w:bidi="ar-SA"/>
        </w:rPr>
      </w:pPr>
    </w:p>
    <w:p>
      <w:pPr>
        <w:widowControl/>
        <w:spacing w:line="560" w:lineRule="exact"/>
        <w:ind w:firstLine="482"/>
        <w:jc w:val="left"/>
        <w:rPr>
          <w:rFonts w:ascii="仿宋_GB2312" w:hAnsi="宋体" w:eastAsia="仿宋_GB2312" w:cs="宋体"/>
          <w:kern w:val="0"/>
          <w:sz w:val="32"/>
          <w:szCs w:val="32"/>
          <w:lang w:bidi="ar-SA"/>
        </w:rPr>
      </w:pPr>
    </w:p>
    <w:p>
      <w:pPr>
        <w:widowControl/>
        <w:spacing w:line="560" w:lineRule="exact"/>
        <w:ind w:firstLine="482"/>
        <w:jc w:val="left"/>
        <w:rPr>
          <w:rFonts w:ascii="仿宋_GB2312" w:hAnsi="宋体" w:eastAsia="仿宋_GB2312" w:cs="宋体"/>
          <w:kern w:val="0"/>
          <w:sz w:val="32"/>
          <w:szCs w:val="32"/>
          <w:lang w:bidi="ar-SA"/>
        </w:rPr>
      </w:pPr>
    </w:p>
    <w:p>
      <w:pPr>
        <w:widowControl/>
        <w:spacing w:line="560" w:lineRule="exact"/>
        <w:ind w:firstLine="482"/>
        <w:jc w:val="left"/>
        <w:rPr>
          <w:rFonts w:ascii="仿宋_GB2312" w:hAnsi="宋体" w:eastAsia="仿宋_GB2312" w:cs="宋体"/>
          <w:kern w:val="0"/>
          <w:sz w:val="32"/>
          <w:szCs w:val="32"/>
          <w:lang w:bidi="ar-SA"/>
        </w:rPr>
      </w:pPr>
    </w:p>
    <w:p>
      <w:pPr>
        <w:widowControl/>
        <w:spacing w:line="560" w:lineRule="exact"/>
        <w:jc w:val="left"/>
        <w:rPr>
          <w:rFonts w:ascii="仿宋_GB2312" w:hAnsi="宋体" w:eastAsia="仿宋_GB2312" w:cs="宋体"/>
          <w:kern w:val="0"/>
          <w:sz w:val="32"/>
          <w:szCs w:val="32"/>
          <w:lang w:bidi="ar-SA"/>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64430"/>
      <w:docPartObj>
        <w:docPartGallery w:val="autotext"/>
      </w:docPartObj>
    </w:sdtPr>
    <w:sdtContent>
      <w:p>
        <w:pPr>
          <w:pStyle w:val="4"/>
          <w:jc w:val="center"/>
        </w:pPr>
        <w:r>
          <w:fldChar w:fldCharType="begin"/>
        </w:r>
        <w:r>
          <w:instrText xml:space="preserve"> PAGE   \* MERGEFORMAT </w:instrText>
        </w:r>
        <w:r>
          <w:fldChar w:fldCharType="separate"/>
        </w:r>
        <w:r>
          <w:rPr>
            <w:lang w:val="zh-CN"/>
          </w:rPr>
          <w:t>26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70"/>
    <w:rsid w:val="00037D76"/>
    <w:rsid w:val="0005309A"/>
    <w:rsid w:val="00055B31"/>
    <w:rsid w:val="0006679B"/>
    <w:rsid w:val="00073F35"/>
    <w:rsid w:val="00074A35"/>
    <w:rsid w:val="00082730"/>
    <w:rsid w:val="00094B99"/>
    <w:rsid w:val="0009705D"/>
    <w:rsid w:val="000A60B0"/>
    <w:rsid w:val="000D1219"/>
    <w:rsid w:val="00115F70"/>
    <w:rsid w:val="001326E8"/>
    <w:rsid w:val="00136157"/>
    <w:rsid w:val="001433AB"/>
    <w:rsid w:val="00185A6F"/>
    <w:rsid w:val="001A22B9"/>
    <w:rsid w:val="001C138C"/>
    <w:rsid w:val="001C44FA"/>
    <w:rsid w:val="001E1751"/>
    <w:rsid w:val="00210408"/>
    <w:rsid w:val="00222B2A"/>
    <w:rsid w:val="00237A5D"/>
    <w:rsid w:val="002642B4"/>
    <w:rsid w:val="002768E2"/>
    <w:rsid w:val="003001D6"/>
    <w:rsid w:val="00313EA3"/>
    <w:rsid w:val="003314E5"/>
    <w:rsid w:val="00381AD4"/>
    <w:rsid w:val="003A3D18"/>
    <w:rsid w:val="003B233A"/>
    <w:rsid w:val="003C69FC"/>
    <w:rsid w:val="003C6A62"/>
    <w:rsid w:val="003D78ED"/>
    <w:rsid w:val="00420508"/>
    <w:rsid w:val="00432C38"/>
    <w:rsid w:val="00441EB8"/>
    <w:rsid w:val="004971E9"/>
    <w:rsid w:val="00497604"/>
    <w:rsid w:val="004A0629"/>
    <w:rsid w:val="004A2E23"/>
    <w:rsid w:val="00502249"/>
    <w:rsid w:val="00516010"/>
    <w:rsid w:val="00521A38"/>
    <w:rsid w:val="0052211A"/>
    <w:rsid w:val="00524732"/>
    <w:rsid w:val="0053662F"/>
    <w:rsid w:val="005419DD"/>
    <w:rsid w:val="00571CB8"/>
    <w:rsid w:val="0058771F"/>
    <w:rsid w:val="005C59F3"/>
    <w:rsid w:val="00601DBB"/>
    <w:rsid w:val="00607393"/>
    <w:rsid w:val="00611FEB"/>
    <w:rsid w:val="006252B4"/>
    <w:rsid w:val="00657A87"/>
    <w:rsid w:val="00667CB2"/>
    <w:rsid w:val="00680668"/>
    <w:rsid w:val="0068472A"/>
    <w:rsid w:val="00690B76"/>
    <w:rsid w:val="006A3F59"/>
    <w:rsid w:val="006D3350"/>
    <w:rsid w:val="006F496B"/>
    <w:rsid w:val="00735B2E"/>
    <w:rsid w:val="00770767"/>
    <w:rsid w:val="00784D9F"/>
    <w:rsid w:val="007C561C"/>
    <w:rsid w:val="007E7479"/>
    <w:rsid w:val="007F2A66"/>
    <w:rsid w:val="007F5288"/>
    <w:rsid w:val="007F6F5B"/>
    <w:rsid w:val="0080183F"/>
    <w:rsid w:val="008242F3"/>
    <w:rsid w:val="00834A4C"/>
    <w:rsid w:val="00836270"/>
    <w:rsid w:val="0084193B"/>
    <w:rsid w:val="00852729"/>
    <w:rsid w:val="008D1E4C"/>
    <w:rsid w:val="008D5A35"/>
    <w:rsid w:val="00930329"/>
    <w:rsid w:val="00934561"/>
    <w:rsid w:val="0098719E"/>
    <w:rsid w:val="00996E6C"/>
    <w:rsid w:val="009F4CE9"/>
    <w:rsid w:val="00A015A5"/>
    <w:rsid w:val="00A14F75"/>
    <w:rsid w:val="00A43E1B"/>
    <w:rsid w:val="00A51667"/>
    <w:rsid w:val="00A60543"/>
    <w:rsid w:val="00AA49BD"/>
    <w:rsid w:val="00AA7E02"/>
    <w:rsid w:val="00AB645B"/>
    <w:rsid w:val="00AF22CC"/>
    <w:rsid w:val="00B1679F"/>
    <w:rsid w:val="00B23785"/>
    <w:rsid w:val="00B36EA0"/>
    <w:rsid w:val="00B36F85"/>
    <w:rsid w:val="00B56091"/>
    <w:rsid w:val="00BB0FE5"/>
    <w:rsid w:val="00BC07D0"/>
    <w:rsid w:val="00BC24D8"/>
    <w:rsid w:val="00C04BAF"/>
    <w:rsid w:val="00C42753"/>
    <w:rsid w:val="00C4753C"/>
    <w:rsid w:val="00C5145B"/>
    <w:rsid w:val="00C529AE"/>
    <w:rsid w:val="00C81CF9"/>
    <w:rsid w:val="00CB227F"/>
    <w:rsid w:val="00CC0DCC"/>
    <w:rsid w:val="00CC59BD"/>
    <w:rsid w:val="00CD55A6"/>
    <w:rsid w:val="00D03D14"/>
    <w:rsid w:val="00D327FD"/>
    <w:rsid w:val="00D335D4"/>
    <w:rsid w:val="00D60A15"/>
    <w:rsid w:val="00D67145"/>
    <w:rsid w:val="00D7736B"/>
    <w:rsid w:val="00DA07B9"/>
    <w:rsid w:val="00DA4A20"/>
    <w:rsid w:val="00DC760D"/>
    <w:rsid w:val="00DF40F0"/>
    <w:rsid w:val="00E12B16"/>
    <w:rsid w:val="00ED411E"/>
    <w:rsid w:val="00F16B4D"/>
    <w:rsid w:val="00F32D01"/>
    <w:rsid w:val="00F74A4E"/>
    <w:rsid w:val="00F75C1F"/>
    <w:rsid w:val="00F819D5"/>
    <w:rsid w:val="00F82DA7"/>
    <w:rsid w:val="00FC1E5E"/>
    <w:rsid w:val="00FD0546"/>
    <w:rsid w:val="00FD60D0"/>
    <w:rsid w:val="00FF323E"/>
    <w:rsid w:val="071867A6"/>
    <w:rsid w:val="17F449D6"/>
    <w:rsid w:val="1F363D74"/>
    <w:rsid w:val="358D26C2"/>
    <w:rsid w:val="36FA5F13"/>
    <w:rsid w:val="40384991"/>
    <w:rsid w:val="4E0930F8"/>
    <w:rsid w:val="54845F7B"/>
    <w:rsid w:val="594F12F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22"/>
    </w:rPr>
  </w:style>
  <w:style w:type="paragraph" w:styleId="4">
    <w:name w:val="footer"/>
    <w:basedOn w:val="1"/>
    <w:link w:val="12"/>
    <w:unhideWhenUsed/>
    <w:qFormat/>
    <w:uiPriority w:val="99"/>
    <w:pPr>
      <w:tabs>
        <w:tab w:val="center" w:pos="4153"/>
        <w:tab w:val="right" w:pos="8306"/>
      </w:tabs>
      <w:snapToGrid w:val="0"/>
      <w:jc w:val="left"/>
    </w:pPr>
    <w:rPr>
      <w:sz w:val="18"/>
      <w:szCs w:val="22"/>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22"/>
    </w:rPr>
  </w:style>
  <w:style w:type="paragraph" w:styleId="6">
    <w:name w:val="Normal (Web)"/>
    <w:basedOn w:val="1"/>
    <w:semiHidden/>
    <w:unhideWhenUsed/>
    <w:qFormat/>
    <w:uiPriority w:val="99"/>
    <w:rPr>
      <w:rFonts w:ascii="Times New Roman" w:hAnsi="Times New Roman" w:cs="Times New Roman"/>
      <w:sz w:val="24"/>
      <w:szCs w:val="30"/>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semiHidden/>
    <w:qFormat/>
    <w:uiPriority w:val="99"/>
    <w:rPr>
      <w:sz w:val="18"/>
      <w:lang w:bidi="mn-Mong-CN"/>
    </w:rPr>
  </w:style>
  <w:style w:type="character" w:customStyle="1" w:styleId="12">
    <w:name w:val="页脚 Char"/>
    <w:basedOn w:val="8"/>
    <w:link w:val="4"/>
    <w:qFormat/>
    <w:uiPriority w:val="99"/>
    <w:rPr>
      <w:sz w:val="18"/>
      <w:lang w:bidi="mn-Mong-CN"/>
    </w:rPr>
  </w:style>
  <w:style w:type="character" w:customStyle="1" w:styleId="13">
    <w:name w:val="日期 Char"/>
    <w:basedOn w:val="8"/>
    <w:link w:val="2"/>
    <w:semiHidden/>
    <w:qFormat/>
    <w:uiPriority w:val="99"/>
    <w:rPr>
      <w:szCs w:val="28"/>
      <w:lang w:bidi="mn-Mong-CN"/>
    </w:rPr>
  </w:style>
  <w:style w:type="character" w:customStyle="1" w:styleId="14">
    <w:name w:val="批注框文本 Char"/>
    <w:basedOn w:val="8"/>
    <w:link w:val="3"/>
    <w:semiHidden/>
    <w:qFormat/>
    <w:uiPriority w:val="99"/>
    <w:rPr>
      <w:sz w:val="18"/>
      <w:lang w:bidi="mn-Mong-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C79F4-CF82-4913-B844-891E9F58F1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857</Words>
  <Characters>4891</Characters>
  <Lines>40</Lines>
  <Paragraphs>11</Paragraphs>
  <TotalTime>2</TotalTime>
  <ScaleCrop>false</ScaleCrop>
  <LinksUpToDate>false</LinksUpToDate>
  <CharactersWithSpaces>5737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2019-08-07T07:57:00Z</dcterms:created>
  <dc:creator>微软用户</dc:creator>
  <cp:lastModifiedBy>佛系少女</cp:lastModifiedBy>
  <dcterms:modified xsi:type="dcterms:W3CDTF">2019-08-08T09:26:24Z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